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BAC" w14:textId="77777777" w:rsidR="00335A07" w:rsidRPr="00AE6E2C" w:rsidRDefault="00335A07" w:rsidP="00335A07">
      <w:pPr>
        <w:snapToGrid w:val="0"/>
        <w:jc w:val="center"/>
        <w:rPr>
          <w:rFonts w:ascii="仿宋" w:eastAsia="仿宋" w:hAnsi="仿宋"/>
          <w:b/>
          <w:bCs/>
          <w:sz w:val="36"/>
          <w:szCs w:val="36"/>
        </w:rPr>
      </w:pPr>
      <w:r w:rsidRPr="00AE6E2C">
        <w:rPr>
          <w:rFonts w:ascii="仿宋" w:eastAsia="仿宋" w:hAnsi="仿宋" w:hint="eastAsia"/>
          <w:b/>
          <w:bCs/>
          <w:sz w:val="36"/>
          <w:szCs w:val="36"/>
        </w:rPr>
        <w:t>全联环境服务业商会人民调解委员会章程</w:t>
      </w:r>
    </w:p>
    <w:p w14:paraId="746BD952" w14:textId="77777777" w:rsidR="00335A07" w:rsidRPr="00EC509E" w:rsidRDefault="00335A07" w:rsidP="00335A07">
      <w:pPr>
        <w:snapToGrid w:val="0"/>
        <w:spacing w:line="360" w:lineRule="auto"/>
        <w:jc w:val="center"/>
        <w:rPr>
          <w:rFonts w:ascii="仿宋" w:eastAsia="仿宋" w:hAnsi="仿宋"/>
          <w:sz w:val="30"/>
          <w:szCs w:val="30"/>
        </w:rPr>
      </w:pPr>
      <w:r w:rsidRPr="00EC509E">
        <w:rPr>
          <w:rFonts w:ascii="仿宋" w:eastAsia="仿宋" w:hAnsi="仿宋" w:hint="eastAsia"/>
          <w:sz w:val="30"/>
          <w:szCs w:val="30"/>
        </w:rPr>
        <w:t>（草案）</w:t>
      </w:r>
    </w:p>
    <w:p w14:paraId="687D17F2" w14:textId="77777777" w:rsidR="00335A07" w:rsidRPr="00AE6E2C" w:rsidRDefault="00335A07" w:rsidP="00335A07">
      <w:pPr>
        <w:widowControl/>
        <w:autoSpaceDE w:val="0"/>
        <w:autoSpaceDN w:val="0"/>
        <w:snapToGrid w:val="0"/>
        <w:spacing w:line="360" w:lineRule="auto"/>
        <w:jc w:val="center"/>
        <w:rPr>
          <w:rFonts w:ascii="仿宋" w:eastAsia="仿宋" w:hAnsi="仿宋" w:cs="Helvetica Neue"/>
          <w:b/>
          <w:kern w:val="0"/>
          <w:sz w:val="32"/>
          <w:szCs w:val="32"/>
        </w:rPr>
      </w:pPr>
      <w:r w:rsidRPr="00AE6E2C">
        <w:rPr>
          <w:rFonts w:ascii="仿宋" w:eastAsia="仿宋" w:hAnsi="仿宋" w:cs="Helvetica Neue" w:hint="eastAsia"/>
          <w:b/>
          <w:kern w:val="0"/>
          <w:sz w:val="32"/>
          <w:szCs w:val="32"/>
        </w:rPr>
        <w:t>目  录</w:t>
      </w:r>
    </w:p>
    <w:p w14:paraId="220C942E"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Times"/>
          <w:kern w:val="0"/>
          <w:sz w:val="30"/>
          <w:szCs w:val="30"/>
        </w:rPr>
      </w:pPr>
      <w:r w:rsidRPr="00EC509E">
        <w:rPr>
          <w:rFonts w:ascii="仿宋" w:eastAsia="仿宋" w:hAnsi="仿宋" w:cs="Times" w:hint="eastAsia"/>
          <w:kern w:val="0"/>
          <w:sz w:val="30"/>
          <w:szCs w:val="30"/>
        </w:rPr>
        <w:t>第一章　总　则</w:t>
      </w:r>
    </w:p>
    <w:p w14:paraId="579D667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Times"/>
          <w:kern w:val="0"/>
          <w:sz w:val="30"/>
          <w:szCs w:val="30"/>
        </w:rPr>
      </w:pPr>
      <w:r w:rsidRPr="00EC509E">
        <w:rPr>
          <w:rFonts w:ascii="仿宋" w:eastAsia="仿宋" w:hAnsi="仿宋" w:cs="Times" w:hint="eastAsia"/>
          <w:kern w:val="0"/>
          <w:sz w:val="30"/>
          <w:szCs w:val="30"/>
        </w:rPr>
        <w:t>第二章　组织机构与业务范围</w:t>
      </w:r>
    </w:p>
    <w:p w14:paraId="4C703D64"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Times"/>
          <w:kern w:val="0"/>
          <w:sz w:val="30"/>
          <w:szCs w:val="30"/>
        </w:rPr>
      </w:pPr>
      <w:r w:rsidRPr="00EC509E">
        <w:rPr>
          <w:rFonts w:ascii="仿宋" w:eastAsia="仿宋" w:hAnsi="仿宋" w:cs="Times" w:hint="eastAsia"/>
          <w:kern w:val="0"/>
          <w:sz w:val="30"/>
          <w:szCs w:val="30"/>
        </w:rPr>
        <w:t>第三章　法律调解员</w:t>
      </w:r>
    </w:p>
    <w:p w14:paraId="08F0099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Times"/>
          <w:kern w:val="0"/>
          <w:sz w:val="30"/>
          <w:szCs w:val="30"/>
        </w:rPr>
      </w:pPr>
      <w:r w:rsidRPr="00EC509E">
        <w:rPr>
          <w:rFonts w:ascii="仿宋" w:eastAsia="仿宋" w:hAnsi="仿宋" w:cs="Times" w:hint="eastAsia"/>
          <w:kern w:val="0"/>
          <w:sz w:val="30"/>
          <w:szCs w:val="30"/>
        </w:rPr>
        <w:t>第四章　调解程序</w:t>
      </w:r>
    </w:p>
    <w:p w14:paraId="7BAC745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Times"/>
          <w:kern w:val="0"/>
          <w:sz w:val="30"/>
          <w:szCs w:val="30"/>
        </w:rPr>
      </w:pPr>
      <w:r w:rsidRPr="00EC509E">
        <w:rPr>
          <w:rFonts w:ascii="仿宋" w:eastAsia="仿宋" w:hAnsi="仿宋" w:cs="Times" w:hint="eastAsia"/>
          <w:kern w:val="0"/>
          <w:sz w:val="30"/>
          <w:szCs w:val="30"/>
        </w:rPr>
        <w:t>第五章　调解协议</w:t>
      </w:r>
    </w:p>
    <w:p w14:paraId="21F72371"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Times"/>
          <w:kern w:val="0"/>
          <w:sz w:val="30"/>
          <w:szCs w:val="30"/>
        </w:rPr>
      </w:pPr>
      <w:r w:rsidRPr="00EC509E">
        <w:rPr>
          <w:rFonts w:ascii="仿宋" w:eastAsia="仿宋" w:hAnsi="仿宋" w:cs="Times" w:hint="eastAsia"/>
          <w:kern w:val="0"/>
          <w:sz w:val="30"/>
          <w:szCs w:val="30"/>
        </w:rPr>
        <w:t>第六章  附  则</w:t>
      </w:r>
    </w:p>
    <w:p w14:paraId="21175BA0" w14:textId="77777777" w:rsidR="00335A07" w:rsidRPr="00EC509E" w:rsidRDefault="00335A07" w:rsidP="00335A07">
      <w:pPr>
        <w:widowControl/>
        <w:autoSpaceDE w:val="0"/>
        <w:autoSpaceDN w:val="0"/>
        <w:adjustRightInd w:val="0"/>
        <w:spacing w:line="360" w:lineRule="auto"/>
        <w:ind w:firstLine="320"/>
        <w:jc w:val="left"/>
        <w:rPr>
          <w:rFonts w:ascii="仿宋" w:eastAsia="仿宋" w:hAnsi="仿宋" w:cs="Times"/>
          <w:kern w:val="0"/>
          <w:sz w:val="30"/>
          <w:szCs w:val="30"/>
        </w:rPr>
      </w:pPr>
    </w:p>
    <w:p w14:paraId="1822DE19" w14:textId="77777777" w:rsidR="00335A07" w:rsidRPr="00AE6E2C" w:rsidRDefault="00335A07" w:rsidP="00335A07">
      <w:pPr>
        <w:widowControl/>
        <w:autoSpaceDE w:val="0"/>
        <w:autoSpaceDN w:val="0"/>
        <w:adjustRightInd w:val="0"/>
        <w:spacing w:line="360" w:lineRule="auto"/>
        <w:ind w:firstLineChars="200" w:firstLine="643"/>
        <w:jc w:val="center"/>
        <w:rPr>
          <w:rFonts w:ascii="仿宋" w:eastAsia="仿宋" w:hAnsi="仿宋" w:cs="Times"/>
          <w:b/>
          <w:bCs/>
          <w:kern w:val="0"/>
          <w:sz w:val="32"/>
          <w:szCs w:val="32"/>
        </w:rPr>
      </w:pPr>
      <w:r w:rsidRPr="00AE6E2C">
        <w:rPr>
          <w:rFonts w:ascii="仿宋" w:eastAsia="仿宋" w:hAnsi="仿宋" w:cs="Times" w:hint="eastAsia"/>
          <w:b/>
          <w:bCs/>
          <w:kern w:val="0"/>
          <w:sz w:val="32"/>
          <w:szCs w:val="32"/>
        </w:rPr>
        <w:t>第一章 总  则</w:t>
      </w:r>
    </w:p>
    <w:p w14:paraId="0CAF17D0" w14:textId="77777777" w:rsidR="00335A07" w:rsidRPr="00EC509E" w:rsidRDefault="00335A07" w:rsidP="00335A07">
      <w:pPr>
        <w:widowControl/>
        <w:autoSpaceDE w:val="0"/>
        <w:autoSpaceDN w:val="0"/>
        <w:snapToGrid w:val="0"/>
        <w:spacing w:line="360" w:lineRule="auto"/>
        <w:ind w:firstLineChars="200" w:firstLine="602"/>
        <w:rPr>
          <w:rFonts w:ascii="仿宋" w:eastAsia="仿宋" w:hAnsi="仿宋" w:cs="Times"/>
          <w:b/>
          <w:kern w:val="0"/>
          <w:sz w:val="30"/>
          <w:szCs w:val="30"/>
        </w:rPr>
      </w:pPr>
    </w:p>
    <w:p w14:paraId="343138EA"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第一条</w:t>
      </w:r>
      <w:r w:rsidRPr="00EC509E">
        <w:rPr>
          <w:rFonts w:ascii="仿宋" w:eastAsia="仿宋" w:hAnsi="仿宋" w:cs="Helvetica Neue" w:hint="eastAsia"/>
          <w:kern w:val="0"/>
          <w:sz w:val="30"/>
          <w:szCs w:val="30"/>
        </w:rPr>
        <w:t>全联环境服务业商会人民调解委员会（以下简称“调委会”）是经全国工商联推荐、北京市司法局备案依法设立的、专门从事全国范围环境行业内纠纷调解的</w:t>
      </w:r>
      <w:r>
        <w:rPr>
          <w:rFonts w:ascii="仿宋" w:eastAsia="仿宋" w:hAnsi="仿宋" w:cs="Helvetica Neue" w:hint="eastAsia"/>
          <w:kern w:val="0"/>
          <w:sz w:val="30"/>
          <w:szCs w:val="30"/>
        </w:rPr>
        <w:t>人民调解组织</w:t>
      </w:r>
      <w:r w:rsidRPr="00EC509E">
        <w:rPr>
          <w:rFonts w:ascii="仿宋" w:eastAsia="仿宋" w:hAnsi="仿宋" w:cs="Helvetica Neue" w:hint="eastAsia"/>
          <w:kern w:val="0"/>
          <w:sz w:val="30"/>
          <w:szCs w:val="30"/>
        </w:rPr>
        <w:t>，属于行业性、专业性</w:t>
      </w:r>
      <w:r w:rsidRPr="002C3D12">
        <w:rPr>
          <w:rFonts w:ascii="仿宋" w:eastAsia="仿宋" w:hAnsi="仿宋" w:cs="Helvetica Neue" w:hint="eastAsia"/>
          <w:kern w:val="0"/>
          <w:sz w:val="30"/>
          <w:szCs w:val="30"/>
        </w:rPr>
        <w:t>人民调解组织</w:t>
      </w:r>
      <w:r w:rsidRPr="00EC509E">
        <w:rPr>
          <w:rFonts w:ascii="仿宋" w:eastAsia="仿宋" w:hAnsi="仿宋" w:cs="Helvetica Neue" w:hint="eastAsia"/>
          <w:kern w:val="0"/>
          <w:sz w:val="30"/>
          <w:szCs w:val="30"/>
        </w:rPr>
        <w:t>。</w:t>
      </w:r>
    </w:p>
    <w:p w14:paraId="5F61453E"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第二条</w:t>
      </w:r>
      <w:r w:rsidRPr="00EC509E">
        <w:rPr>
          <w:rFonts w:ascii="仿宋" w:eastAsia="仿宋" w:hAnsi="仿宋" w:cs="Helvetica Neue" w:hint="eastAsia"/>
          <w:kern w:val="0"/>
          <w:sz w:val="30"/>
          <w:szCs w:val="30"/>
        </w:rPr>
        <w:t xml:space="preserve"> 本章程依据《中华人民共和国法律调解法》、《司法部等关于推进行业性专业性法律调解工作的指导意见》（司发通〔2016〕1号）《全国工商联、司法部关于推进商会法律调解工作的意见》（全联发〔2018〕3号）《北京市司法局关于推进法律调解工作改革的意见》（京司发〔2017〕104号）等规范性文件制定。</w:t>
      </w:r>
    </w:p>
    <w:p w14:paraId="31AA4C5E"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第三条</w:t>
      </w:r>
      <w:r w:rsidRPr="00EC509E">
        <w:rPr>
          <w:rFonts w:ascii="仿宋" w:eastAsia="仿宋" w:hAnsi="仿宋" w:cs="Helvetica Neue" w:hint="eastAsia"/>
          <w:kern w:val="0"/>
          <w:sz w:val="30"/>
          <w:szCs w:val="30"/>
        </w:rPr>
        <w:t xml:space="preserve"> 调委会的宗旨是：</w:t>
      </w:r>
    </w:p>
    <w:p w14:paraId="6D407AC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lastRenderedPageBreak/>
        <w:t>建立健全调解程序与调解机制，集合专业调解力量，组织开展环境行业内专业化法律调解工作；开辟多元化纠纷解决渠道，提高矛盾调处水平，维护当事人合法权益，及时化解矛盾纠纷，促进环境行业公平竞争与健康发展。</w:t>
      </w:r>
    </w:p>
    <w:p w14:paraId="5DB21853"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第四条</w:t>
      </w:r>
      <w:r w:rsidRPr="00EC509E">
        <w:rPr>
          <w:rFonts w:ascii="仿宋" w:eastAsia="仿宋" w:hAnsi="仿宋" w:cs="Helvetica Neue" w:hint="eastAsia"/>
          <w:kern w:val="0"/>
          <w:sz w:val="30"/>
          <w:szCs w:val="30"/>
        </w:rPr>
        <w:t xml:space="preserve"> 调委会的基本原则是：</w:t>
      </w:r>
    </w:p>
    <w:p w14:paraId="145C1CAB"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（一）坚持全国工商联及其环境商会的领导，坚持司法行政机关指导。</w:t>
      </w:r>
    </w:p>
    <w:p w14:paraId="2CC490E8"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仿宋_GB2312"/>
          <w:sz w:val="30"/>
          <w:szCs w:val="30"/>
        </w:rPr>
      </w:pPr>
      <w:r w:rsidRPr="00EC509E">
        <w:rPr>
          <w:rFonts w:ascii="仿宋" w:eastAsia="仿宋" w:hAnsi="仿宋" w:cs="Helvetica Neue" w:hint="eastAsia"/>
          <w:kern w:val="0"/>
          <w:sz w:val="30"/>
          <w:szCs w:val="30"/>
        </w:rPr>
        <w:t>（二）坚持以人为本、高效便民、自愿平等、主动预防，始终将维护调解双方当事人合法权益作为调解工作的基本点</w:t>
      </w:r>
      <w:r w:rsidRPr="00EC509E">
        <w:rPr>
          <w:rFonts w:ascii="仿宋" w:eastAsia="仿宋" w:hAnsi="仿宋" w:cs="仿宋_GB2312" w:hint="eastAsia"/>
          <w:sz w:val="30"/>
          <w:szCs w:val="30"/>
        </w:rPr>
        <w:t>。</w:t>
      </w:r>
    </w:p>
    <w:p w14:paraId="0BF7E462"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（三）坚持尊重科学、尊重法律，不违背法律、法规和国家政策，兼顾行业标准和商事惯例，结合环境行业的特点、规律与相关政策法律，运用专业知识，提高调解工作权威性与公信力。</w:t>
      </w:r>
    </w:p>
    <w:p w14:paraId="40013DBF"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（四）坚持实事求是，改革创新，从化解行业内矛盾纠纷实际需求出发，不断完善调解制度，创新调解机制，确保调解工作规范性和实用性，形成具有商会特色的调解工作制度机制。</w:t>
      </w:r>
    </w:p>
    <w:p w14:paraId="0AAAA06E" w14:textId="77777777" w:rsidR="00335A07" w:rsidRPr="00EC509E" w:rsidRDefault="00335A07" w:rsidP="00335A07">
      <w:pPr>
        <w:widowControl/>
        <w:autoSpaceDE w:val="0"/>
        <w:autoSpaceDN w:val="0"/>
        <w:adjustRightInd w:val="0"/>
        <w:spacing w:line="320" w:lineRule="atLeast"/>
        <w:jc w:val="center"/>
        <w:rPr>
          <w:rFonts w:ascii="仿宋" w:eastAsia="仿宋" w:hAnsi="仿宋" w:cs="Helvetica Neue"/>
          <w:b/>
          <w:kern w:val="0"/>
          <w:sz w:val="30"/>
          <w:szCs w:val="30"/>
        </w:rPr>
      </w:pPr>
    </w:p>
    <w:p w14:paraId="4ED95FD8" w14:textId="77777777" w:rsidR="00335A07" w:rsidRPr="00AE6E2C" w:rsidRDefault="00335A07" w:rsidP="00335A07">
      <w:pPr>
        <w:widowControl/>
        <w:autoSpaceDE w:val="0"/>
        <w:autoSpaceDN w:val="0"/>
        <w:snapToGrid w:val="0"/>
        <w:jc w:val="center"/>
        <w:rPr>
          <w:rFonts w:ascii="仿宋" w:eastAsia="仿宋" w:hAnsi="仿宋" w:cs="Helvetica Neue"/>
          <w:b/>
          <w:bCs/>
          <w:kern w:val="0"/>
          <w:sz w:val="32"/>
          <w:szCs w:val="32"/>
        </w:rPr>
      </w:pPr>
      <w:r w:rsidRPr="00AE6E2C">
        <w:rPr>
          <w:rFonts w:ascii="仿宋" w:eastAsia="仿宋" w:hAnsi="仿宋" w:cs="Helvetica Neue"/>
          <w:b/>
          <w:bCs/>
          <w:kern w:val="0"/>
          <w:sz w:val="32"/>
          <w:szCs w:val="32"/>
        </w:rPr>
        <w:t>第二章 组织机构与业务范围</w:t>
      </w:r>
    </w:p>
    <w:p w14:paraId="043ED10A" w14:textId="77777777" w:rsidR="00335A07" w:rsidRPr="00EC509E" w:rsidRDefault="00335A07" w:rsidP="00335A07">
      <w:pPr>
        <w:widowControl/>
        <w:autoSpaceDE w:val="0"/>
        <w:autoSpaceDN w:val="0"/>
        <w:adjustRightInd w:val="0"/>
        <w:spacing w:line="320" w:lineRule="atLeast"/>
        <w:jc w:val="center"/>
        <w:rPr>
          <w:rFonts w:ascii="仿宋" w:eastAsia="仿宋" w:hAnsi="仿宋" w:cs="Helvetica Neue"/>
          <w:b/>
          <w:kern w:val="0"/>
          <w:sz w:val="30"/>
          <w:szCs w:val="30"/>
        </w:rPr>
      </w:pPr>
    </w:p>
    <w:p w14:paraId="78E631DD"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第五条</w:t>
      </w:r>
      <w:r w:rsidRPr="00EC509E">
        <w:rPr>
          <w:rFonts w:ascii="仿宋" w:eastAsia="仿宋" w:hAnsi="仿宋" w:cs="Helvetica Neue" w:hint="eastAsia"/>
          <w:kern w:val="0"/>
          <w:sz w:val="30"/>
          <w:szCs w:val="30"/>
        </w:rPr>
        <w:t xml:space="preserve"> 调委会由全联环境服务业商会（以下简称“商会”）负责组建，在商会办公室所在地设立专门办公场所；调委会与各地方商会、协会合作，在有实际需求的省份设立人民调解工作室。</w:t>
      </w:r>
    </w:p>
    <w:p w14:paraId="3213E532"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lastRenderedPageBreak/>
        <w:t>第六条</w:t>
      </w:r>
      <w:r w:rsidRPr="00EC509E">
        <w:rPr>
          <w:rFonts w:ascii="仿宋" w:eastAsia="仿宋" w:hAnsi="仿宋" w:cs="Helvetica Neue" w:hint="eastAsia"/>
          <w:kern w:val="0"/>
          <w:sz w:val="30"/>
          <w:szCs w:val="30"/>
        </w:rPr>
        <w:t xml:space="preserve"> 调解活动一般在专门办公场所进行，也可以根据需要，在便利当事人或者有利于调解的其他场所进行。</w:t>
      </w:r>
    </w:p>
    <w:p w14:paraId="404C7705"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第七条</w:t>
      </w:r>
      <w:r w:rsidRPr="00EC509E">
        <w:rPr>
          <w:rFonts w:ascii="仿宋" w:eastAsia="仿宋" w:hAnsi="仿宋" w:cs="Helvetica Neue" w:hint="eastAsia"/>
          <w:kern w:val="0"/>
          <w:sz w:val="30"/>
          <w:szCs w:val="30"/>
        </w:rPr>
        <w:t xml:space="preserve"> 调委会的日常运营经费由商会负责，调委会的运营支出来源于商会拨付及会员捐赠的法律服务资金，不得向当事人收取任何费用。</w:t>
      </w:r>
    </w:p>
    <w:p w14:paraId="507EDC13"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第八条</w:t>
      </w:r>
      <w:r w:rsidRPr="00EC509E">
        <w:rPr>
          <w:rFonts w:ascii="仿宋" w:eastAsia="仿宋" w:hAnsi="仿宋" w:cs="Helvetica Neue" w:hint="eastAsia"/>
          <w:kern w:val="0"/>
          <w:sz w:val="30"/>
          <w:szCs w:val="30"/>
        </w:rPr>
        <w:t xml:space="preserve"> 调委会使用统一规范的名称和法律调解标识，公开法律调解员名单、调解原则、工作纪律等信息。</w:t>
      </w:r>
    </w:p>
    <w:p w14:paraId="2DCD95E7"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第九条</w:t>
      </w:r>
      <w:r w:rsidRPr="00EC509E">
        <w:rPr>
          <w:rFonts w:ascii="仿宋" w:eastAsia="仿宋" w:hAnsi="仿宋" w:cs="Helvetica Neue" w:hint="eastAsia"/>
          <w:kern w:val="0"/>
          <w:sz w:val="30"/>
          <w:szCs w:val="30"/>
        </w:rPr>
        <w:t xml:space="preserve"> 调委会的印章是法律调解工作专用章，应当专管专用。</w:t>
      </w:r>
    </w:p>
    <w:p w14:paraId="42FC7FF5"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第十条</w:t>
      </w:r>
      <w:r w:rsidRPr="00EC509E">
        <w:rPr>
          <w:rFonts w:ascii="仿宋" w:eastAsia="仿宋" w:hAnsi="仿宋" w:cs="Helvetica Neue" w:hint="eastAsia"/>
          <w:kern w:val="0"/>
          <w:sz w:val="30"/>
          <w:szCs w:val="30"/>
        </w:rPr>
        <w:t xml:space="preserve"> 调委会的主要业务包括：</w:t>
      </w:r>
    </w:p>
    <w:p w14:paraId="6BC5A6F4"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受理法院、政府部门、工商联委托或当事人申请的以下调解申请：（1）环境商会会员之间的矛盾与纠纷；（2）环境商会会员与非会员企业之间的矛盾与纠纷；（3）环境商会会员与其员工之间的矛盾与纠纷；（4）环境上下游企业之间的矛盾与纠纷；（5）其他与环境相关企业之间的矛盾与纠纷。</w:t>
      </w:r>
    </w:p>
    <w:p w14:paraId="18A2CD6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（二）将调解纠纷与法治宣传相结合，依据当事人需求，提供法律咨询与援助服务。</w:t>
      </w:r>
    </w:p>
    <w:p w14:paraId="38AE146D"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（三）研究行业政策法规，组织定期案例研讨，总结归纳调解经验，建立健全调解案例分析研判制度与信息反馈制度。</w:t>
      </w:r>
    </w:p>
    <w:p w14:paraId="09525BB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（四）其他与本行业矛盾纠纷调解有关的工作。</w:t>
      </w:r>
    </w:p>
    <w:p w14:paraId="37942A5B"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第十一条</w:t>
      </w:r>
      <w:r w:rsidRPr="00EC509E">
        <w:rPr>
          <w:rFonts w:ascii="仿宋" w:eastAsia="仿宋" w:hAnsi="仿宋" w:cs="Helvetica Neue" w:hint="eastAsia"/>
          <w:kern w:val="0"/>
          <w:sz w:val="30"/>
          <w:szCs w:val="30"/>
        </w:rPr>
        <w:t xml:space="preserve"> 对下列纠纷，调委会不予调解：</w:t>
      </w:r>
    </w:p>
    <w:p w14:paraId="4A29C079"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（一）法律、法规规定只能由专门机关管辖处理的;</w:t>
      </w:r>
    </w:p>
    <w:p w14:paraId="3EC9AC8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（二）法律、法规禁止采用人民调解方式解决的;</w:t>
      </w:r>
    </w:p>
    <w:p w14:paraId="59EBED2A"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lastRenderedPageBreak/>
        <w:t>（三）专门机关、仲裁机构已经处理或者受理，且未委托本调委会进行调解或者邀请本调委会协助调解的。</w:t>
      </w:r>
    </w:p>
    <w:p w14:paraId="4AF63A5A"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对于前款规定的纠纷，调委会应当告知当事人通过法定途径处理；对可能激化的纠纷，应当采取有针对性的预防措施，及时向公安机关或者其他有关部门报告。</w:t>
      </w:r>
    </w:p>
    <w:p w14:paraId="63295D38" w14:textId="77777777" w:rsidR="00335A07" w:rsidRPr="00EC509E" w:rsidRDefault="00335A07" w:rsidP="00335A07">
      <w:pPr>
        <w:widowControl/>
        <w:autoSpaceDE w:val="0"/>
        <w:autoSpaceDN w:val="0"/>
        <w:adjustRightInd w:val="0"/>
        <w:spacing w:line="320" w:lineRule="atLeast"/>
        <w:rPr>
          <w:rFonts w:ascii="仿宋" w:eastAsia="仿宋" w:hAnsi="仿宋" w:cs="Helvetica Neue"/>
          <w:kern w:val="0"/>
          <w:sz w:val="30"/>
          <w:szCs w:val="30"/>
        </w:rPr>
      </w:pPr>
    </w:p>
    <w:p w14:paraId="44EA14F8" w14:textId="77777777" w:rsidR="00335A07" w:rsidRPr="00AE6E2C" w:rsidRDefault="00335A07" w:rsidP="00335A07">
      <w:pPr>
        <w:widowControl/>
        <w:autoSpaceDE w:val="0"/>
        <w:autoSpaceDN w:val="0"/>
        <w:snapToGrid w:val="0"/>
        <w:jc w:val="center"/>
        <w:rPr>
          <w:rFonts w:ascii="仿宋" w:eastAsia="仿宋" w:hAnsi="仿宋" w:cs="Helvetica Neue"/>
          <w:b/>
          <w:bCs/>
          <w:kern w:val="0"/>
          <w:sz w:val="32"/>
          <w:szCs w:val="32"/>
        </w:rPr>
      </w:pPr>
      <w:r w:rsidRPr="00AE6E2C">
        <w:rPr>
          <w:rFonts w:ascii="仿宋" w:eastAsia="仿宋" w:hAnsi="仿宋" w:cs="Helvetica Neue"/>
          <w:b/>
          <w:bCs/>
          <w:kern w:val="0"/>
          <w:sz w:val="32"/>
          <w:szCs w:val="32"/>
        </w:rPr>
        <w:t xml:space="preserve">第三章 </w:t>
      </w:r>
      <w:r w:rsidRPr="00AE6E2C">
        <w:rPr>
          <w:rFonts w:ascii="仿宋" w:eastAsia="仿宋" w:hAnsi="仿宋" w:cs="Helvetica Neue" w:hint="eastAsia"/>
          <w:b/>
          <w:bCs/>
          <w:kern w:val="0"/>
          <w:sz w:val="32"/>
          <w:szCs w:val="32"/>
        </w:rPr>
        <w:t>人民调解</w:t>
      </w:r>
      <w:r w:rsidRPr="00AE6E2C">
        <w:rPr>
          <w:rFonts w:ascii="仿宋" w:eastAsia="仿宋" w:hAnsi="仿宋" w:cs="Helvetica Neue"/>
          <w:b/>
          <w:bCs/>
          <w:kern w:val="0"/>
          <w:sz w:val="32"/>
          <w:szCs w:val="32"/>
        </w:rPr>
        <w:t>员</w:t>
      </w:r>
    </w:p>
    <w:p w14:paraId="63334FF3" w14:textId="77777777" w:rsidR="00335A07" w:rsidRPr="00EC509E" w:rsidRDefault="00335A07" w:rsidP="00335A07">
      <w:pPr>
        <w:widowControl/>
        <w:autoSpaceDE w:val="0"/>
        <w:autoSpaceDN w:val="0"/>
        <w:adjustRightInd w:val="0"/>
        <w:spacing w:line="320" w:lineRule="atLeast"/>
        <w:jc w:val="center"/>
        <w:rPr>
          <w:rFonts w:ascii="仿宋" w:eastAsia="仿宋" w:hAnsi="仿宋" w:cs="Helvetica Neue"/>
          <w:b/>
          <w:kern w:val="0"/>
          <w:sz w:val="30"/>
          <w:szCs w:val="30"/>
        </w:rPr>
      </w:pPr>
    </w:p>
    <w:p w14:paraId="428EFFA9"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第十二条</w:t>
      </w:r>
      <w:r w:rsidRPr="00EC509E">
        <w:rPr>
          <w:rFonts w:ascii="仿宋" w:eastAsia="仿宋" w:hAnsi="仿宋" w:cs="Helvetica Neue" w:hint="eastAsia"/>
          <w:kern w:val="0"/>
          <w:sz w:val="30"/>
          <w:szCs w:val="30"/>
        </w:rPr>
        <w:t xml:space="preserve"> 人民调解员由调委会委员和调委会聘任的兼职调解人员担任。</w:t>
      </w:r>
    </w:p>
    <w:p w14:paraId="02F2BCD5"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color w:val="000000"/>
          <w:kern w:val="0"/>
          <w:sz w:val="30"/>
          <w:szCs w:val="30"/>
        </w:rPr>
      </w:pPr>
      <w:r w:rsidRPr="00EC509E">
        <w:rPr>
          <w:rFonts w:ascii="仿宋" w:eastAsia="仿宋" w:hAnsi="仿宋" w:cs="Helvetica Neue" w:hint="eastAsia"/>
          <w:color w:val="000000"/>
          <w:kern w:val="0"/>
          <w:sz w:val="30"/>
          <w:szCs w:val="30"/>
        </w:rPr>
        <w:t>调委会设主任一人，委员若干人，必要时可设副主任；调委会成员的数量为三人以上的单数，主任与副主任应从委员中产生。</w:t>
      </w:r>
    </w:p>
    <w:p w14:paraId="3542E0F7"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调委会可另行聘请兼职调解人员担任人民调解员，参与调解工作。</w:t>
      </w:r>
    </w:p>
    <w:p w14:paraId="61BD364D"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第十三条</w:t>
      </w:r>
      <w:r w:rsidRPr="00EC509E">
        <w:rPr>
          <w:rFonts w:ascii="仿宋" w:eastAsia="仿宋" w:hAnsi="仿宋" w:cs="Helvetica Neue" w:hint="eastAsia"/>
          <w:kern w:val="0"/>
          <w:sz w:val="30"/>
          <w:szCs w:val="30"/>
        </w:rPr>
        <w:t xml:space="preserve"> 人民调解员应当由具备下列条件的成年公民担任：</w:t>
      </w:r>
    </w:p>
    <w:p w14:paraId="32D91F42"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（一）认真负责，公道正派，具备优良的道德品质与专业知识；</w:t>
      </w:r>
    </w:p>
    <w:p w14:paraId="4E910769"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（二）有大学本科以上学历或中级以上专业技术职称；</w:t>
      </w:r>
    </w:p>
    <w:p w14:paraId="2CD61838"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（三）有本行业或法律行业内五年以上从业经历；</w:t>
      </w:r>
    </w:p>
    <w:p w14:paraId="2C6BE45A"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（四）群众认可，熟悉行业具体情况，热心人民调解工作。</w:t>
      </w:r>
    </w:p>
    <w:p w14:paraId="42241987"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第十四条</w:t>
      </w:r>
      <w:r w:rsidRPr="00EC509E">
        <w:rPr>
          <w:rFonts w:ascii="仿宋" w:eastAsia="仿宋" w:hAnsi="仿宋" w:cs="Helvetica Neue" w:hint="eastAsia"/>
          <w:kern w:val="0"/>
          <w:sz w:val="30"/>
          <w:szCs w:val="30"/>
        </w:rPr>
        <w:t xml:space="preserve"> 人民调解员从事调解工作，不得有以下行为：</w:t>
      </w:r>
      <w:r w:rsidRPr="00EC509E">
        <w:rPr>
          <w:rFonts w:ascii="宋体" w:hAnsi="宋体" w:cs="宋体" w:hint="eastAsia"/>
          <w:kern w:val="0"/>
          <w:sz w:val="30"/>
          <w:szCs w:val="30"/>
        </w:rPr>
        <w:t> </w:t>
      </w:r>
    </w:p>
    <w:p w14:paraId="7DF418CB"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lastRenderedPageBreak/>
        <w:t>（一）拒绝当事人的合理调解请求；</w:t>
      </w:r>
    </w:p>
    <w:p w14:paraId="1868324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（二）压制、侮辱、欺骗、威胁当事人；</w:t>
      </w:r>
    </w:p>
    <w:p w14:paraId="705CFA65"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 xml:space="preserve">（三）索取、收受财物或者牟取其他不正当利益； </w:t>
      </w:r>
      <w:r w:rsidRPr="00EC509E">
        <w:rPr>
          <w:rFonts w:ascii="宋体" w:hAnsi="宋体" w:cs="宋体" w:hint="eastAsia"/>
          <w:kern w:val="0"/>
          <w:sz w:val="30"/>
          <w:szCs w:val="30"/>
        </w:rPr>
        <w:t> </w:t>
      </w:r>
    </w:p>
    <w:p w14:paraId="39FEEE87"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 xml:space="preserve">（四）泄露国家秘密、商业秘密或者当事人个人隐私； </w:t>
      </w:r>
      <w:r w:rsidRPr="00EC509E">
        <w:rPr>
          <w:rFonts w:ascii="宋体" w:hAnsi="宋体" w:cs="宋体" w:hint="eastAsia"/>
          <w:kern w:val="0"/>
          <w:sz w:val="30"/>
          <w:szCs w:val="30"/>
        </w:rPr>
        <w:t> </w:t>
      </w:r>
      <w:r w:rsidRPr="00EC509E">
        <w:rPr>
          <w:rFonts w:ascii="仿宋" w:eastAsia="仿宋" w:hAnsi="仿宋" w:cs="Helvetica Neue" w:hint="eastAsia"/>
          <w:kern w:val="0"/>
          <w:sz w:val="30"/>
          <w:szCs w:val="30"/>
        </w:rPr>
        <w:t xml:space="preserve"> </w:t>
      </w:r>
      <w:r w:rsidRPr="00EC509E">
        <w:rPr>
          <w:rFonts w:ascii="宋体" w:hAnsi="宋体" w:cs="宋体" w:hint="eastAsia"/>
          <w:kern w:val="0"/>
          <w:sz w:val="30"/>
          <w:szCs w:val="30"/>
        </w:rPr>
        <w:t> </w:t>
      </w:r>
      <w:r w:rsidRPr="00EC509E">
        <w:rPr>
          <w:rFonts w:ascii="仿宋" w:eastAsia="仿宋" w:hAnsi="仿宋" w:cs="Helvetica Neue" w:hint="eastAsia"/>
          <w:kern w:val="0"/>
          <w:sz w:val="30"/>
          <w:szCs w:val="30"/>
        </w:rPr>
        <w:t xml:space="preserve"> </w:t>
      </w:r>
      <w:r w:rsidRPr="00EC509E">
        <w:rPr>
          <w:rFonts w:ascii="宋体" w:hAnsi="宋体" w:cs="宋体" w:hint="eastAsia"/>
          <w:kern w:val="0"/>
          <w:sz w:val="30"/>
          <w:szCs w:val="30"/>
        </w:rPr>
        <w:t>  </w:t>
      </w:r>
    </w:p>
    <w:p w14:paraId="0411720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（五）隐匿、毁灭当事人的证据材料；</w:t>
      </w:r>
      <w:r w:rsidRPr="00EC509E">
        <w:rPr>
          <w:rFonts w:ascii="宋体" w:hAnsi="宋体" w:cs="宋体" w:hint="eastAsia"/>
          <w:kern w:val="0"/>
          <w:sz w:val="30"/>
          <w:szCs w:val="30"/>
        </w:rPr>
        <w:t> </w:t>
      </w:r>
    </w:p>
    <w:p w14:paraId="2C4F7CB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（六）阻碍当事人依法通过仲裁、行政、司法等途径维护合法权益；</w:t>
      </w:r>
    </w:p>
    <w:p w14:paraId="00701EA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 xml:space="preserve">（七）其他违反法律、法规规定的行为。 </w:t>
      </w:r>
      <w:r w:rsidRPr="00EC509E">
        <w:rPr>
          <w:rFonts w:ascii="宋体" w:hAnsi="宋体" w:cs="宋体" w:hint="eastAsia"/>
          <w:kern w:val="0"/>
          <w:sz w:val="30"/>
          <w:szCs w:val="30"/>
        </w:rPr>
        <w:t>  </w:t>
      </w:r>
    </w:p>
    <w:p w14:paraId="68537EB2"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第十五条</w:t>
      </w:r>
      <w:r w:rsidRPr="00EC509E">
        <w:rPr>
          <w:rFonts w:ascii="仿宋" w:eastAsia="仿宋" w:hAnsi="仿宋" w:cs="Helvetica Neue" w:hint="eastAsia"/>
          <w:kern w:val="0"/>
          <w:sz w:val="30"/>
          <w:szCs w:val="30"/>
        </w:rPr>
        <w:t xml:space="preserve"> 人民调解员从事调解工作，享有下列权利：</w:t>
      </w:r>
    </w:p>
    <w:p w14:paraId="663050B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(一)根据调解工作需要，调查核实纠纷情况和证据材料；</w:t>
      </w:r>
    </w:p>
    <w:p w14:paraId="6694C6C1"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(二)批评、制止扰乱调解秩序的行为；</w:t>
      </w:r>
    </w:p>
    <w:p w14:paraId="7499D13F"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(三)向有关部门提出调解工作意见和建议；</w:t>
      </w:r>
    </w:p>
    <w:p w14:paraId="4BFD56BF"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(四)法律、法规规定的其他权利。</w:t>
      </w:r>
    </w:p>
    <w:p w14:paraId="50F5B6C7"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第十六条</w:t>
      </w:r>
      <w:r w:rsidRPr="00EC509E">
        <w:rPr>
          <w:rFonts w:ascii="仿宋" w:eastAsia="仿宋" w:hAnsi="仿宋" w:cs="Helvetica Neue" w:hint="eastAsia"/>
          <w:kern w:val="0"/>
          <w:sz w:val="30"/>
          <w:szCs w:val="30"/>
        </w:rPr>
        <w:t xml:space="preserve"> 调委会可组建人民调解专家库。聘请本行业与法律领域的专家，为调解活动提供专业咨询，其咨询意见可以作为调解的参考依据。</w:t>
      </w:r>
    </w:p>
    <w:p w14:paraId="7D71BE84" w14:textId="77777777" w:rsidR="00335A07" w:rsidRPr="00EC509E" w:rsidRDefault="00335A07" w:rsidP="00335A07">
      <w:pPr>
        <w:widowControl/>
        <w:autoSpaceDE w:val="0"/>
        <w:autoSpaceDN w:val="0"/>
        <w:adjustRightInd w:val="0"/>
        <w:spacing w:line="360" w:lineRule="auto"/>
        <w:rPr>
          <w:rFonts w:ascii="仿宋" w:eastAsia="仿宋" w:hAnsi="仿宋" w:cs="Helvetica Neue"/>
          <w:kern w:val="0"/>
          <w:sz w:val="30"/>
          <w:szCs w:val="30"/>
        </w:rPr>
      </w:pPr>
    </w:p>
    <w:p w14:paraId="0FA6C012" w14:textId="77777777" w:rsidR="00335A07" w:rsidRPr="00AE6E2C" w:rsidRDefault="00335A07" w:rsidP="00335A07">
      <w:pPr>
        <w:widowControl/>
        <w:autoSpaceDE w:val="0"/>
        <w:autoSpaceDN w:val="0"/>
        <w:snapToGrid w:val="0"/>
        <w:jc w:val="center"/>
        <w:rPr>
          <w:rFonts w:ascii="仿宋" w:eastAsia="仿宋" w:hAnsi="仿宋" w:cs="Helvetica Neue"/>
          <w:b/>
          <w:bCs/>
          <w:kern w:val="0"/>
          <w:sz w:val="32"/>
          <w:szCs w:val="32"/>
        </w:rPr>
      </w:pPr>
      <w:r w:rsidRPr="00AE6E2C">
        <w:rPr>
          <w:rFonts w:ascii="仿宋" w:eastAsia="仿宋" w:hAnsi="仿宋" w:cs="Helvetica Neue"/>
          <w:b/>
          <w:bCs/>
          <w:kern w:val="0"/>
          <w:sz w:val="32"/>
          <w:szCs w:val="32"/>
        </w:rPr>
        <w:t>第四章 调解程序</w:t>
      </w:r>
    </w:p>
    <w:p w14:paraId="0B233E98" w14:textId="77777777" w:rsidR="00335A07" w:rsidRPr="00EC509E" w:rsidRDefault="00335A07" w:rsidP="00335A07">
      <w:pPr>
        <w:widowControl/>
        <w:autoSpaceDE w:val="0"/>
        <w:autoSpaceDN w:val="0"/>
        <w:adjustRightInd w:val="0"/>
        <w:spacing w:line="360" w:lineRule="auto"/>
        <w:ind w:firstLineChars="200" w:firstLine="602"/>
        <w:jc w:val="center"/>
        <w:rPr>
          <w:rFonts w:ascii="仿宋" w:eastAsia="仿宋" w:hAnsi="仿宋" w:cs="Helvetica Neue"/>
          <w:b/>
          <w:kern w:val="0"/>
          <w:sz w:val="30"/>
          <w:szCs w:val="30"/>
        </w:rPr>
      </w:pPr>
    </w:p>
    <w:p w14:paraId="62250EB4"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第十六条</w:t>
      </w:r>
      <w:r w:rsidRPr="00EC509E">
        <w:rPr>
          <w:rFonts w:ascii="仿宋" w:eastAsia="仿宋" w:hAnsi="仿宋" w:cs="Helvetica Neue" w:hint="eastAsia"/>
          <w:kern w:val="0"/>
          <w:sz w:val="30"/>
          <w:szCs w:val="30"/>
        </w:rPr>
        <w:t xml:space="preserve"> 调解申请条件</w:t>
      </w:r>
    </w:p>
    <w:p w14:paraId="42B20627"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当事人可以向调委会申请调解，调委会也可以主动调解。当事人一方明确拒绝调解的，不得调解。</w:t>
      </w:r>
    </w:p>
    <w:p w14:paraId="42A2DC3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当事人申请调解，应当符合下列条件：</w:t>
      </w:r>
    </w:p>
    <w:p w14:paraId="7CE5E4FE"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lastRenderedPageBreak/>
        <w:t>（一）申请人是与纠纷有直接利害关系的自然人或法人；</w:t>
      </w:r>
    </w:p>
    <w:p w14:paraId="1A8ED00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（二）有明确的被申请人；</w:t>
      </w:r>
    </w:p>
    <w:p w14:paraId="73CF3172"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（三）有明确的事实、理由与具体的请求；</w:t>
      </w:r>
    </w:p>
    <w:p w14:paraId="6EA8D64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（四）所申请调解的矛盾纠纷属本调委会的调解职权范围内，并具有可调解性。</w:t>
      </w:r>
    </w:p>
    <w:p w14:paraId="5E304E8F"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第十七条</w:t>
      </w:r>
      <w:r w:rsidRPr="00EC509E">
        <w:rPr>
          <w:rFonts w:ascii="仿宋" w:eastAsia="仿宋" w:hAnsi="仿宋" w:cs="Helvetica Neue" w:hint="eastAsia"/>
          <w:kern w:val="0"/>
          <w:sz w:val="30"/>
          <w:szCs w:val="30"/>
        </w:rPr>
        <w:t xml:space="preserve"> 调解申请材料</w:t>
      </w:r>
    </w:p>
    <w:p w14:paraId="7E42A0C8"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当事人申请调解时，应当向调委会提交以下材料：</w:t>
      </w:r>
    </w:p>
    <w:p w14:paraId="5D1F1AE1"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 《人民调解申请书》；</w:t>
      </w:r>
    </w:p>
    <w:p w14:paraId="0D571E41"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 申请调解所依据的证据材料；</w:t>
      </w:r>
    </w:p>
    <w:p w14:paraId="62306865"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 调解所需要的其他应当写明的事项。</w:t>
      </w:r>
    </w:p>
    <w:p w14:paraId="7621E12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 委托代理人参与调解的，当事人应提交书面授权委托书。</w:t>
      </w:r>
    </w:p>
    <w:p w14:paraId="0CC775AE"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第十八条</w:t>
      </w:r>
      <w:r w:rsidRPr="00EC509E">
        <w:rPr>
          <w:rFonts w:ascii="仿宋" w:eastAsia="仿宋" w:hAnsi="仿宋" w:cs="Helvetica Neue" w:hint="eastAsia"/>
          <w:kern w:val="0"/>
          <w:sz w:val="30"/>
          <w:szCs w:val="30"/>
        </w:rPr>
        <w:t xml:space="preserve"> 调解启动</w:t>
      </w:r>
    </w:p>
    <w:p w14:paraId="5AFA45E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调委会收到调解申请后，应当认真审查有关材料，符合条件的，应当在收到申请之日起五日内，征求被申请人是否同意调解的意见。</w:t>
      </w:r>
    </w:p>
    <w:p w14:paraId="4E57FFB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在征得各方当事人的同意后，调委会应当在三日内启动调解程序，并向各方当事人发出《调解通知书》，通知调解的时间、地点和备选人民调解员（以下简称“调解员”）名单。</w:t>
      </w:r>
    </w:p>
    <w:p w14:paraId="20F9D8B0"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第十九条</w:t>
      </w:r>
      <w:r w:rsidRPr="00EC509E">
        <w:rPr>
          <w:rFonts w:ascii="仿宋" w:eastAsia="仿宋" w:hAnsi="仿宋" w:cs="Helvetica Neue" w:hint="eastAsia"/>
          <w:kern w:val="0"/>
          <w:sz w:val="30"/>
          <w:szCs w:val="30"/>
        </w:rPr>
        <w:t xml:space="preserve"> 调解期限</w:t>
      </w:r>
    </w:p>
    <w:p w14:paraId="2BFA9D2C"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当事人可以约定调解期限，也可在调解员主持下，共同确定调解期限；调解期限一般不超过六十日。</w:t>
      </w:r>
      <w:r w:rsidRPr="00EC509E">
        <w:rPr>
          <w:rFonts w:ascii="宋体" w:hAnsi="宋体" w:cs="宋体" w:hint="eastAsia"/>
          <w:kern w:val="0"/>
          <w:sz w:val="30"/>
          <w:szCs w:val="30"/>
        </w:rPr>
        <w:t> </w:t>
      </w:r>
    </w:p>
    <w:p w14:paraId="486C7487"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第二十条</w:t>
      </w:r>
      <w:r w:rsidRPr="00EC509E">
        <w:rPr>
          <w:rFonts w:ascii="仿宋" w:eastAsia="仿宋" w:hAnsi="仿宋" w:cs="Helvetica Neue" w:hint="eastAsia"/>
          <w:kern w:val="0"/>
          <w:sz w:val="30"/>
          <w:szCs w:val="30"/>
        </w:rPr>
        <w:t xml:space="preserve"> 调解员的选定与指定</w:t>
      </w:r>
    </w:p>
    <w:p w14:paraId="03BF4D31"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lastRenderedPageBreak/>
        <w:t>调委会应将调解员名册置备于专门办公场所，供当事人查阅。各方当事人应当在收到《调解通知书》之日起三日内，从调解员名册中共同选定一名或数名调解员，或者共同委托调委会指定调解员。未能在上述期限内共同选定或者委托的，由调委会主任指定调解员。调解员确定后，应将调解员名单告知各方当事人，并及时通知调解员本人。</w:t>
      </w:r>
    </w:p>
    <w:p w14:paraId="5D0104BA"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按照前款规定选定或指定的调解员数量，应当为单数。</w:t>
      </w:r>
    </w:p>
    <w:p w14:paraId="0B1F28B1"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第二十一条</w:t>
      </w:r>
      <w:r w:rsidRPr="00EC509E">
        <w:rPr>
          <w:rFonts w:ascii="仿宋" w:eastAsia="仿宋" w:hAnsi="仿宋" w:cs="Helvetica Neue" w:hint="eastAsia"/>
          <w:kern w:val="0"/>
          <w:sz w:val="30"/>
          <w:szCs w:val="30"/>
        </w:rPr>
        <w:t xml:space="preserve"> 调解员的回避</w:t>
      </w:r>
    </w:p>
    <w:p w14:paraId="4568CEF7"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有下列情形之一的，人民调解员应当自行回避，当事人亦有权申请其回避：</w:t>
      </w:r>
    </w:p>
    <w:p w14:paraId="60D8AA34"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（一）是本纠纷的当事人或当事人近亲属；</w:t>
      </w:r>
    </w:p>
    <w:p w14:paraId="730669E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（二）本人或其近亲属与本纠纷有利害关系；</w:t>
      </w:r>
    </w:p>
    <w:p w14:paraId="5818A02C"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（三）是本纠纷委托代理人的近亲属；</w:t>
      </w:r>
    </w:p>
    <w:p w14:paraId="43C5A41B"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（四）与本纠纷当事人或者委托代理人有其他利害关系，可能影响公正调解的。</w:t>
      </w:r>
    </w:p>
    <w:p w14:paraId="10357DC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存在前款规定的回避情形，调解员没有自行回避，当事人也没有申请其回避的，调委会主任可以决定其回避。</w:t>
      </w:r>
    </w:p>
    <w:p w14:paraId="6F26BFDC"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第二十二条</w:t>
      </w:r>
      <w:r w:rsidRPr="00EC509E">
        <w:rPr>
          <w:rFonts w:ascii="仿宋" w:eastAsia="仿宋" w:hAnsi="仿宋" w:cs="Helvetica Neue" w:hint="eastAsia"/>
          <w:kern w:val="0"/>
          <w:sz w:val="30"/>
          <w:szCs w:val="30"/>
        </w:rPr>
        <w:t xml:space="preserve"> 调解程序</w:t>
      </w:r>
    </w:p>
    <w:p w14:paraId="3C9B5E32"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调委会可以按照下列方式和程序进行调解：</w:t>
      </w:r>
    </w:p>
    <w:p w14:paraId="2F7986FF"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（一）告知当事人调解规则和有关事项；</w:t>
      </w:r>
    </w:p>
    <w:p w14:paraId="643CAE84"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（二）充分听取当事人的陈述，对所提交的证据材料进行调查核实；</w:t>
      </w:r>
    </w:p>
    <w:p w14:paraId="06FFDB8B"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（三）向当事人说明有关法律、法规和政策，耐心疏导；</w:t>
      </w:r>
    </w:p>
    <w:p w14:paraId="209611F4"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lastRenderedPageBreak/>
        <w:t>（四）在当事人平等协商、互谅互让的基础上，提出纠纷解决方案；</w:t>
      </w:r>
    </w:p>
    <w:p w14:paraId="383B88CB"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（五）帮助当事人自愿达成调解协议。</w:t>
      </w:r>
    </w:p>
    <w:p w14:paraId="5EFBB4B4"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调委会可以根据当事人实际情况，采取灵活多样的方式和程序调解纠纷。</w:t>
      </w:r>
    </w:p>
    <w:p w14:paraId="795038E0"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第二十三条</w:t>
      </w:r>
      <w:r w:rsidRPr="00EC509E">
        <w:rPr>
          <w:rFonts w:ascii="仿宋" w:eastAsia="仿宋" w:hAnsi="仿宋" w:cs="Helvetica Neue" w:hint="eastAsia"/>
          <w:kern w:val="0"/>
          <w:sz w:val="30"/>
          <w:szCs w:val="30"/>
        </w:rPr>
        <w:t xml:space="preserve"> 调解方式</w:t>
      </w:r>
    </w:p>
    <w:p w14:paraId="15A2E14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 调委会原则上应组织各方当事人到场调解纠纷。</w:t>
      </w:r>
    </w:p>
    <w:p w14:paraId="24A892CB"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（二）当事人约定不到场，或者调委会认为不必要到场并征得各方当事人同意的，可以根据当事人提交的申请材料，进行分别调解。</w:t>
      </w:r>
    </w:p>
    <w:p w14:paraId="72144C3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（三）调委会进行到场调解和分别调解，均应当公平、公正地对待各方当事人，确保各方当事人有充分的陈述与辩解机会。</w:t>
      </w:r>
    </w:p>
    <w:p w14:paraId="0FBCA4FD"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（四）依托信息化技术，创新开展在线调解以及其他符合行业企业实际的调解方式。</w:t>
      </w:r>
    </w:p>
    <w:p w14:paraId="53122AA4"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第二十四条</w:t>
      </w:r>
      <w:r w:rsidRPr="00EC509E">
        <w:rPr>
          <w:rFonts w:ascii="仿宋" w:eastAsia="仿宋" w:hAnsi="仿宋" w:cs="Helvetica Neue" w:hint="eastAsia"/>
          <w:kern w:val="0"/>
          <w:sz w:val="30"/>
          <w:szCs w:val="30"/>
        </w:rPr>
        <w:t xml:space="preserve"> 调解终止</w:t>
      </w:r>
    </w:p>
    <w:p w14:paraId="7AFAC04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（一）一方当事人明确拒绝或自愿退出调解的；</w:t>
      </w:r>
    </w:p>
    <w:p w14:paraId="00AF307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（二）存在严重意见分歧和关键利益冲突，没有必要继续调解的；</w:t>
      </w:r>
    </w:p>
    <w:p w14:paraId="5BE2585C"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（三）约定或确定的调解期限届满</w:t>
      </w:r>
      <w:r w:rsidRPr="00EC509E">
        <w:rPr>
          <w:rFonts w:ascii="仿宋" w:eastAsia="仿宋" w:hAnsi="仿宋" w:cs="仿宋_GB2312" w:hint="eastAsia"/>
          <w:kern w:val="0"/>
          <w:sz w:val="30"/>
          <w:szCs w:val="30"/>
        </w:rPr>
        <w:t>，仍未达成口头或书面调解协议的（当事人同意延期的除外）；</w:t>
      </w:r>
    </w:p>
    <w:p w14:paraId="15649E3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（四）一方当事人在调解期间内提起诉讼或申请仲裁的；</w:t>
      </w:r>
    </w:p>
    <w:p w14:paraId="5015516E"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（五）不适宜进行调解的其他情况。</w:t>
      </w:r>
    </w:p>
    <w:p w14:paraId="5CE1D96D"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第二十五条</w:t>
      </w:r>
      <w:r w:rsidRPr="00EC509E">
        <w:rPr>
          <w:rFonts w:ascii="仿宋" w:eastAsia="仿宋" w:hAnsi="仿宋" w:cs="Helvetica Neue" w:hint="eastAsia"/>
          <w:kern w:val="0"/>
          <w:sz w:val="30"/>
          <w:szCs w:val="30"/>
        </w:rPr>
        <w:t xml:space="preserve"> 调解记录</w:t>
      </w:r>
      <w:r w:rsidRPr="00EC509E">
        <w:rPr>
          <w:rFonts w:ascii="宋体" w:hAnsi="宋体" w:cs="宋体" w:hint="eastAsia"/>
          <w:kern w:val="0"/>
          <w:sz w:val="30"/>
          <w:szCs w:val="30"/>
        </w:rPr>
        <w:t> </w:t>
      </w:r>
    </w:p>
    <w:p w14:paraId="5F5F1D1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lastRenderedPageBreak/>
        <w:t>调委会调解纠纷应当制作调解记录，开展调解调查应当制作调解调查记录；调解记录应当由调解员签名和当事人签名、盖章或者按指印。</w:t>
      </w:r>
    </w:p>
    <w:p w14:paraId="5EEBC3CF"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调解简单纠纷的，可以不作全程记录，但应当记录调解事项及结果，并由法律调解员签名。</w:t>
      </w:r>
    </w:p>
    <w:p w14:paraId="15C3CED8"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第二十六条</w:t>
      </w:r>
      <w:r w:rsidRPr="00EC509E">
        <w:rPr>
          <w:rFonts w:ascii="仿宋" w:eastAsia="仿宋" w:hAnsi="仿宋" w:cs="Helvetica Neue" w:hint="eastAsia"/>
          <w:kern w:val="0"/>
          <w:sz w:val="30"/>
          <w:szCs w:val="30"/>
        </w:rPr>
        <w:t xml:space="preserve"> 调解工作档案</w:t>
      </w:r>
    </w:p>
    <w:p w14:paraId="13E2E48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调委会应当建立调解工作档案，将调解登记、调解记录、调解协议书等材料立卷归档，以备查阅。</w:t>
      </w:r>
    </w:p>
    <w:p w14:paraId="0264C68A"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第二十七条</w:t>
      </w:r>
      <w:r w:rsidRPr="00EC509E">
        <w:rPr>
          <w:rFonts w:ascii="仿宋" w:eastAsia="仿宋" w:hAnsi="仿宋" w:cs="Helvetica Neue" w:hint="eastAsia"/>
          <w:kern w:val="0"/>
          <w:sz w:val="30"/>
          <w:szCs w:val="30"/>
        </w:rPr>
        <w:t xml:space="preserve"> 不公开调解</w:t>
      </w:r>
    </w:p>
    <w:p w14:paraId="6F214CE9"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当事人可以自主决定调解公开或不公开进行。</w:t>
      </w:r>
    </w:p>
    <w:p w14:paraId="6B906A0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对于不公开调解的案件，调解员、当事人及其代理人、证人、专家、调委会工作人员以及其他参与调解过程的人员，应当对调解保密，不向外界透露纠纷与调解的具体情况；各方当事人另有约定或法律法规另有规定的除外。</w:t>
      </w:r>
    </w:p>
    <w:p w14:paraId="1E3F6D60" w14:textId="77777777" w:rsidR="00335A07" w:rsidRPr="00EC509E" w:rsidRDefault="00335A07" w:rsidP="00335A07">
      <w:pPr>
        <w:widowControl/>
        <w:autoSpaceDE w:val="0"/>
        <w:autoSpaceDN w:val="0"/>
        <w:snapToGrid w:val="0"/>
        <w:spacing w:line="360" w:lineRule="auto"/>
        <w:ind w:firstLine="200"/>
        <w:jc w:val="left"/>
        <w:rPr>
          <w:rFonts w:ascii="仿宋" w:eastAsia="仿宋" w:hAnsi="仿宋" w:cs="Helvetica Neue"/>
          <w:kern w:val="0"/>
          <w:sz w:val="30"/>
          <w:szCs w:val="30"/>
        </w:rPr>
      </w:pPr>
    </w:p>
    <w:p w14:paraId="0253BA98" w14:textId="77777777" w:rsidR="00335A07" w:rsidRPr="00AE6E2C" w:rsidRDefault="00335A07" w:rsidP="00335A07">
      <w:pPr>
        <w:widowControl/>
        <w:autoSpaceDE w:val="0"/>
        <w:autoSpaceDN w:val="0"/>
        <w:snapToGrid w:val="0"/>
        <w:jc w:val="center"/>
        <w:rPr>
          <w:rFonts w:ascii="仿宋" w:eastAsia="仿宋" w:hAnsi="仿宋" w:cs="Helvetica Neue"/>
          <w:b/>
          <w:bCs/>
          <w:kern w:val="0"/>
          <w:sz w:val="32"/>
          <w:szCs w:val="32"/>
        </w:rPr>
      </w:pPr>
      <w:r w:rsidRPr="00AE6E2C">
        <w:rPr>
          <w:rFonts w:ascii="仿宋" w:eastAsia="仿宋" w:hAnsi="仿宋" w:cs="Helvetica Neue"/>
          <w:b/>
          <w:bCs/>
          <w:kern w:val="0"/>
          <w:sz w:val="32"/>
          <w:szCs w:val="32"/>
        </w:rPr>
        <w:t>第五章 调解</w:t>
      </w:r>
      <w:r w:rsidRPr="00AE6E2C">
        <w:rPr>
          <w:rFonts w:ascii="仿宋" w:eastAsia="仿宋" w:hAnsi="仿宋" w:cs="Helvetica Neue" w:hint="eastAsia"/>
          <w:b/>
          <w:bCs/>
          <w:kern w:val="0"/>
          <w:sz w:val="32"/>
          <w:szCs w:val="32"/>
        </w:rPr>
        <w:t>协议</w:t>
      </w:r>
    </w:p>
    <w:p w14:paraId="612A0DF7" w14:textId="77777777" w:rsidR="00335A07" w:rsidRPr="00EC509E" w:rsidRDefault="00335A07" w:rsidP="00335A07">
      <w:pPr>
        <w:widowControl/>
        <w:autoSpaceDE w:val="0"/>
        <w:autoSpaceDN w:val="0"/>
        <w:adjustRightInd w:val="0"/>
        <w:spacing w:line="360" w:lineRule="auto"/>
        <w:jc w:val="left"/>
        <w:rPr>
          <w:rFonts w:ascii="仿宋" w:eastAsia="仿宋" w:hAnsi="仿宋" w:cs="Helvetica Neue"/>
          <w:kern w:val="0"/>
          <w:sz w:val="30"/>
          <w:szCs w:val="30"/>
        </w:rPr>
      </w:pPr>
    </w:p>
    <w:p w14:paraId="2566B824"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第二十八条</w:t>
      </w:r>
      <w:r w:rsidRPr="00EC509E">
        <w:rPr>
          <w:rFonts w:ascii="仿宋" w:eastAsia="仿宋" w:hAnsi="仿宋" w:cs="Helvetica Neue" w:hint="eastAsia"/>
          <w:kern w:val="0"/>
          <w:sz w:val="30"/>
          <w:szCs w:val="30"/>
        </w:rPr>
        <w:t xml:space="preserve"> 调解协议书</w:t>
      </w:r>
    </w:p>
    <w:p w14:paraId="70B30DC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经调委会调解达成调解协议的，有下列情形之一的，应当制作调解协议书。</w:t>
      </w:r>
    </w:p>
    <w:p w14:paraId="202456D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（一）当事人要求制作调解协议书的；</w:t>
      </w:r>
    </w:p>
    <w:p w14:paraId="2D2393BA"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（二）有给付内容且不能即时履行完毕的；</w:t>
      </w:r>
    </w:p>
    <w:p w14:paraId="48E70D74"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（三）调解重大、疑难、复杂纠纷的；</w:t>
      </w:r>
    </w:p>
    <w:p w14:paraId="62FBEE89"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（四）调委会认为应当制作调解协议书的其他情形。</w:t>
      </w:r>
    </w:p>
    <w:p w14:paraId="75FADDF9"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lastRenderedPageBreak/>
        <w:t>第二十九条</w:t>
      </w:r>
      <w:r w:rsidRPr="00EC509E">
        <w:rPr>
          <w:rFonts w:ascii="仿宋" w:eastAsia="仿宋" w:hAnsi="仿宋" w:cs="Helvetica Neue" w:hint="eastAsia"/>
          <w:kern w:val="0"/>
          <w:sz w:val="30"/>
          <w:szCs w:val="30"/>
        </w:rPr>
        <w:t xml:space="preserve"> 口头调解协议</w:t>
      </w:r>
    </w:p>
    <w:p w14:paraId="3422A25A"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当事人一致认为无需制作调解协议书的，可以采取口头协议方式。</w:t>
      </w:r>
    </w:p>
    <w:p w14:paraId="2FBB2B24"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调解员应当记录协议内容，并填写口头调解协议登记表，口头调解协议自各方当事人达成协议之日起生效。</w:t>
      </w:r>
    </w:p>
    <w:p w14:paraId="3A72D2C1"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第三十条</w:t>
      </w:r>
      <w:r w:rsidRPr="00EC509E">
        <w:rPr>
          <w:rFonts w:ascii="仿宋" w:eastAsia="仿宋" w:hAnsi="仿宋" w:cs="Helvetica Neue" w:hint="eastAsia"/>
          <w:kern w:val="0"/>
          <w:sz w:val="30"/>
          <w:szCs w:val="30"/>
        </w:rPr>
        <w:t xml:space="preserve"> 调解协议书的内容</w:t>
      </w:r>
    </w:p>
    <w:p w14:paraId="620C0550"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调解协议书可以载明下列事项：</w:t>
      </w:r>
    </w:p>
    <w:p w14:paraId="0234A7AE"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（一）当事人的基本情况；</w:t>
      </w:r>
    </w:p>
    <w:p w14:paraId="39117AFB"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（二）纠纷的主要事实、争议事项以及各方当事人的责任；</w:t>
      </w:r>
    </w:p>
    <w:p w14:paraId="6EA7AE9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（三）当事人达成调解协议的具体内容，履行的方式、期限。</w:t>
      </w:r>
    </w:p>
    <w:p w14:paraId="31E12182"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调解协议书自各方当事人签名、盖章或者按指印，调解员签名并加盖调委会印章之日起生效。调解协议书由当事人各执一份，调委会留存一份。</w:t>
      </w:r>
    </w:p>
    <w:p w14:paraId="24CF457B"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第三十一条</w:t>
      </w:r>
      <w:r w:rsidRPr="00EC509E">
        <w:rPr>
          <w:rFonts w:ascii="仿宋" w:eastAsia="仿宋" w:hAnsi="仿宋" w:cs="Helvetica Neue" w:hint="eastAsia"/>
          <w:kern w:val="0"/>
          <w:sz w:val="30"/>
          <w:szCs w:val="30"/>
        </w:rPr>
        <w:t xml:space="preserve"> 调解协议的履行</w:t>
      </w:r>
    </w:p>
    <w:p w14:paraId="3EA93D93"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经调委会调解达成的调解协议，具有法律约束力，当事人应当按照约定履行。</w:t>
      </w:r>
    </w:p>
    <w:p w14:paraId="7DAC0B9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调委会对调解协议的履行情况进行监督，督促当事人履行约定义务。</w:t>
      </w:r>
    </w:p>
    <w:p w14:paraId="4C457BDE"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第三十二条</w:t>
      </w:r>
      <w:r w:rsidRPr="00EC509E">
        <w:rPr>
          <w:rFonts w:ascii="仿宋" w:eastAsia="仿宋" w:hAnsi="仿宋" w:cs="Helvetica Neue" w:hint="eastAsia"/>
          <w:kern w:val="0"/>
          <w:sz w:val="30"/>
          <w:szCs w:val="30"/>
        </w:rPr>
        <w:t xml:space="preserve"> 调解协议争议处理</w:t>
      </w:r>
    </w:p>
    <w:p w14:paraId="20ADCF9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当事人就调解协议的内容或履行等发生争议的，调委会应当按照下列情形分别处理：</w:t>
      </w:r>
    </w:p>
    <w:p w14:paraId="4701827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lastRenderedPageBreak/>
        <w:t>（一）当事人无正当理由不履行调解协议的，应当做好当事人的工作，督促其履行；</w:t>
      </w:r>
    </w:p>
    <w:p w14:paraId="1FF6C1F6"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（二）当事人有证据证明调解协议内容不当，或者调委会发现调解协议内容确有不当的，在征得各方当事人同意后，可以经再次调解变更原调解协议或者达成新的调解协议；</w:t>
      </w:r>
    </w:p>
    <w:p w14:paraId="587BACB8"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（三）对经督促或者再次调解仍不能解决争议的，应当告知当事人通过其他法定途径处理。</w:t>
      </w:r>
    </w:p>
    <w:p w14:paraId="1B9DEB15"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第三十三条</w:t>
      </w:r>
      <w:r w:rsidRPr="00EC509E">
        <w:rPr>
          <w:rFonts w:ascii="仿宋" w:eastAsia="仿宋" w:hAnsi="仿宋" w:cs="Helvetica Neue" w:hint="eastAsia"/>
          <w:kern w:val="0"/>
          <w:sz w:val="30"/>
          <w:szCs w:val="30"/>
        </w:rPr>
        <w:t xml:space="preserve"> 诉调对接</w:t>
      </w:r>
    </w:p>
    <w:p w14:paraId="14504F1C" w14:textId="77777777" w:rsidR="00335A07" w:rsidRPr="00EC509E" w:rsidRDefault="00335A07" w:rsidP="00335A07">
      <w:pPr>
        <w:widowControl/>
        <w:autoSpaceDE w:val="0"/>
        <w:autoSpaceDN w:val="0"/>
        <w:snapToGrid w:val="0"/>
        <w:spacing w:line="360" w:lineRule="auto"/>
        <w:ind w:firstLineChars="200" w:firstLine="600"/>
        <w:jc w:val="left"/>
        <w:rPr>
          <w:rFonts w:ascii="仿宋" w:eastAsia="仿宋" w:hAnsi="仿宋" w:cs="Helvetica Neue"/>
          <w:kern w:val="0"/>
          <w:sz w:val="30"/>
          <w:szCs w:val="30"/>
        </w:rPr>
      </w:pPr>
      <w:r w:rsidRPr="00EC509E">
        <w:rPr>
          <w:rFonts w:ascii="仿宋" w:eastAsia="仿宋" w:hAnsi="仿宋" w:cs="Helvetica Neue" w:hint="eastAsia"/>
          <w:kern w:val="0"/>
          <w:sz w:val="30"/>
          <w:szCs w:val="30"/>
        </w:rPr>
        <w:t>达成调解协议后，调委会应当告知当事人可以自调解协议生效之日起三十日内共同向人民法院申请司法确认；符合法定条件的，当事人可以依法向人民法院申请强制执行。</w:t>
      </w:r>
    </w:p>
    <w:p w14:paraId="67F7ADC6" w14:textId="77777777" w:rsidR="00335A07" w:rsidRPr="00EC509E" w:rsidRDefault="00335A07" w:rsidP="00335A07">
      <w:pPr>
        <w:widowControl/>
        <w:autoSpaceDE w:val="0"/>
        <w:autoSpaceDN w:val="0"/>
        <w:adjustRightInd w:val="0"/>
        <w:spacing w:line="360" w:lineRule="auto"/>
        <w:rPr>
          <w:rFonts w:ascii="仿宋" w:eastAsia="仿宋" w:hAnsi="仿宋" w:cs="Helvetica Neue"/>
          <w:kern w:val="0"/>
          <w:sz w:val="30"/>
          <w:szCs w:val="30"/>
        </w:rPr>
      </w:pPr>
    </w:p>
    <w:p w14:paraId="23D28582" w14:textId="77777777" w:rsidR="00335A07" w:rsidRPr="00AE6E2C" w:rsidRDefault="00335A07" w:rsidP="00335A07">
      <w:pPr>
        <w:widowControl/>
        <w:autoSpaceDE w:val="0"/>
        <w:autoSpaceDN w:val="0"/>
        <w:snapToGrid w:val="0"/>
        <w:jc w:val="center"/>
        <w:rPr>
          <w:rFonts w:ascii="仿宋" w:eastAsia="仿宋" w:hAnsi="仿宋" w:cs="Helvetica Neue"/>
          <w:b/>
          <w:bCs/>
          <w:kern w:val="0"/>
          <w:sz w:val="32"/>
          <w:szCs w:val="32"/>
        </w:rPr>
      </w:pPr>
      <w:r w:rsidRPr="00AE6E2C">
        <w:rPr>
          <w:rFonts w:ascii="仿宋" w:eastAsia="仿宋" w:hAnsi="仿宋" w:cs="Helvetica Neue"/>
          <w:b/>
          <w:bCs/>
          <w:kern w:val="0"/>
          <w:sz w:val="32"/>
          <w:szCs w:val="32"/>
        </w:rPr>
        <w:t>第六章 附</w:t>
      </w:r>
      <w:r w:rsidRPr="00AE6E2C">
        <w:rPr>
          <w:rFonts w:ascii="仿宋" w:eastAsia="仿宋" w:hAnsi="仿宋" w:cs="Helvetica Neue" w:hint="eastAsia"/>
          <w:b/>
          <w:bCs/>
          <w:kern w:val="0"/>
          <w:sz w:val="32"/>
          <w:szCs w:val="32"/>
        </w:rPr>
        <w:t xml:space="preserve">  </w:t>
      </w:r>
      <w:r w:rsidRPr="00AE6E2C">
        <w:rPr>
          <w:rFonts w:ascii="仿宋" w:eastAsia="仿宋" w:hAnsi="仿宋" w:cs="Helvetica Neue"/>
          <w:b/>
          <w:bCs/>
          <w:kern w:val="0"/>
          <w:sz w:val="32"/>
          <w:szCs w:val="32"/>
        </w:rPr>
        <w:t>则</w:t>
      </w:r>
    </w:p>
    <w:p w14:paraId="5E589A60" w14:textId="77777777" w:rsidR="00335A07" w:rsidRPr="00EC509E" w:rsidRDefault="00335A07" w:rsidP="00335A07">
      <w:pPr>
        <w:widowControl/>
        <w:autoSpaceDE w:val="0"/>
        <w:autoSpaceDN w:val="0"/>
        <w:adjustRightInd w:val="0"/>
        <w:spacing w:line="360" w:lineRule="auto"/>
        <w:ind w:firstLineChars="200" w:firstLine="602"/>
        <w:jc w:val="center"/>
        <w:rPr>
          <w:rFonts w:ascii="仿宋" w:eastAsia="仿宋" w:hAnsi="仿宋" w:cs="Helvetica Neue"/>
          <w:b/>
          <w:kern w:val="0"/>
          <w:sz w:val="30"/>
          <w:szCs w:val="30"/>
        </w:rPr>
      </w:pPr>
    </w:p>
    <w:p w14:paraId="08274007"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第三十四条</w:t>
      </w:r>
      <w:r w:rsidRPr="00EC509E">
        <w:rPr>
          <w:rFonts w:ascii="仿宋" w:eastAsia="仿宋" w:hAnsi="仿宋" w:cs="Helvetica Neue" w:hint="eastAsia"/>
          <w:kern w:val="0"/>
          <w:sz w:val="30"/>
          <w:szCs w:val="30"/>
        </w:rPr>
        <w:t xml:space="preserve"> 本章程中的“以上”，均包括本数；本章程中的“五日”、“三日”、“六十日”，均指工作日。</w:t>
      </w:r>
    </w:p>
    <w:p w14:paraId="64CFF647" w14:textId="77777777"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第三十五条</w:t>
      </w:r>
      <w:r w:rsidRPr="00EC509E">
        <w:rPr>
          <w:rFonts w:ascii="仿宋" w:eastAsia="仿宋" w:hAnsi="仿宋" w:cs="Helvetica Neue" w:hint="eastAsia"/>
          <w:kern w:val="0"/>
          <w:sz w:val="30"/>
          <w:szCs w:val="30"/>
        </w:rPr>
        <w:t xml:space="preserve"> 本章程由全联环境服务业商会人民调解委员会负责解释，法律、法规等对人民调解另有规定的，从其规定。</w:t>
      </w:r>
    </w:p>
    <w:p w14:paraId="1927E24E" w14:textId="7EB563A5" w:rsidR="00335A07" w:rsidRPr="00EC509E" w:rsidRDefault="00335A07" w:rsidP="00335A07">
      <w:pPr>
        <w:widowControl/>
        <w:autoSpaceDE w:val="0"/>
        <w:autoSpaceDN w:val="0"/>
        <w:snapToGrid w:val="0"/>
        <w:spacing w:line="360" w:lineRule="auto"/>
        <w:ind w:firstLineChars="200" w:firstLine="602"/>
        <w:jc w:val="left"/>
        <w:rPr>
          <w:rFonts w:ascii="仿宋" w:eastAsia="仿宋" w:hAnsi="仿宋" w:cs="Helvetica Neue"/>
          <w:kern w:val="0"/>
          <w:sz w:val="30"/>
          <w:szCs w:val="30"/>
        </w:rPr>
      </w:pPr>
      <w:r w:rsidRPr="00EC509E">
        <w:rPr>
          <w:rFonts w:ascii="仿宋" w:eastAsia="仿宋" w:hAnsi="仿宋" w:cs="Helvetica Neue" w:hint="eastAsia"/>
          <w:b/>
          <w:kern w:val="0"/>
          <w:sz w:val="30"/>
          <w:szCs w:val="30"/>
        </w:rPr>
        <w:t>第三十六条</w:t>
      </w:r>
      <w:r w:rsidRPr="00EC509E">
        <w:rPr>
          <w:rFonts w:ascii="仿宋" w:eastAsia="仿宋" w:hAnsi="仿宋" w:cs="Helvetica Neue" w:hint="eastAsia"/>
          <w:kern w:val="0"/>
          <w:sz w:val="30"/>
          <w:szCs w:val="30"/>
        </w:rPr>
        <w:t xml:space="preserve"> 本章程自20</w:t>
      </w:r>
      <w:r>
        <w:rPr>
          <w:rFonts w:ascii="仿宋" w:eastAsia="仿宋" w:hAnsi="仿宋" w:cs="Helvetica Neue" w:hint="eastAsia"/>
          <w:kern w:val="0"/>
          <w:sz w:val="30"/>
          <w:szCs w:val="30"/>
        </w:rPr>
        <w:t>20</w:t>
      </w:r>
      <w:r w:rsidRPr="00EC509E">
        <w:rPr>
          <w:rFonts w:ascii="仿宋" w:eastAsia="仿宋" w:hAnsi="仿宋" w:cs="Helvetica Neue" w:hint="eastAsia"/>
          <w:kern w:val="0"/>
          <w:sz w:val="30"/>
          <w:szCs w:val="30"/>
        </w:rPr>
        <w:t>年</w:t>
      </w:r>
      <w:r w:rsidR="00F04F5F">
        <w:rPr>
          <w:rFonts w:ascii="仿宋" w:eastAsia="仿宋" w:hAnsi="仿宋" w:cs="Helvetica Neue"/>
          <w:kern w:val="0"/>
          <w:sz w:val="30"/>
          <w:szCs w:val="30"/>
        </w:rPr>
        <w:t>12</w:t>
      </w:r>
      <w:r w:rsidRPr="00EC509E">
        <w:rPr>
          <w:rFonts w:ascii="仿宋" w:eastAsia="仿宋" w:hAnsi="仿宋" w:cs="Helvetica Neue" w:hint="eastAsia"/>
          <w:kern w:val="0"/>
          <w:sz w:val="30"/>
          <w:szCs w:val="30"/>
        </w:rPr>
        <w:t>月</w:t>
      </w:r>
      <w:r w:rsidR="00F04F5F">
        <w:rPr>
          <w:rFonts w:ascii="仿宋" w:eastAsia="仿宋" w:hAnsi="仿宋" w:cs="Helvetica Neue"/>
          <w:kern w:val="0"/>
          <w:sz w:val="30"/>
          <w:szCs w:val="30"/>
        </w:rPr>
        <w:t>23</w:t>
      </w:r>
      <w:r w:rsidRPr="00EC509E">
        <w:rPr>
          <w:rFonts w:ascii="仿宋" w:eastAsia="仿宋" w:hAnsi="仿宋" w:cs="Helvetica Neue" w:hint="eastAsia"/>
          <w:kern w:val="0"/>
          <w:sz w:val="30"/>
          <w:szCs w:val="30"/>
        </w:rPr>
        <w:t>日起实施。</w:t>
      </w:r>
    </w:p>
    <w:p w14:paraId="5A657F39" w14:textId="2A217C04" w:rsidR="003B6783" w:rsidRDefault="00335A07" w:rsidP="00335A07">
      <w:r>
        <w:rPr>
          <w:rFonts w:ascii="仿宋" w:eastAsia="仿宋" w:hAnsi="仿宋" w:cs="仿宋_GB2312"/>
          <w:b/>
          <w:bCs/>
          <w:sz w:val="30"/>
          <w:szCs w:val="30"/>
        </w:rPr>
        <w:br w:type="page"/>
      </w:r>
    </w:p>
    <w:sectPr w:rsidR="003B67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7F79" w14:textId="77777777" w:rsidR="009913D3" w:rsidRDefault="009913D3" w:rsidP="00335A07">
      <w:r>
        <w:separator/>
      </w:r>
    </w:p>
  </w:endnote>
  <w:endnote w:type="continuationSeparator" w:id="0">
    <w:p w14:paraId="751DB051" w14:textId="77777777" w:rsidR="009913D3" w:rsidRDefault="009913D3" w:rsidP="0033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variable"/>
    <w:sig w:usb0="00000003"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C07B" w14:textId="77777777" w:rsidR="009913D3" w:rsidRDefault="009913D3" w:rsidP="00335A07">
      <w:r>
        <w:separator/>
      </w:r>
    </w:p>
  </w:footnote>
  <w:footnote w:type="continuationSeparator" w:id="0">
    <w:p w14:paraId="1F29B146" w14:textId="77777777" w:rsidR="009913D3" w:rsidRDefault="009913D3" w:rsidP="00335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7"/>
    <w:rsid w:val="00335A07"/>
    <w:rsid w:val="003B6783"/>
    <w:rsid w:val="009913D3"/>
    <w:rsid w:val="00CE4B87"/>
    <w:rsid w:val="00F04F5F"/>
    <w:rsid w:val="00F7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DCA93"/>
  <w15:chartTrackingRefBased/>
  <w15:docId w15:val="{D691CE51-04D4-44FD-B492-D93A225D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A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A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5A07"/>
    <w:rPr>
      <w:sz w:val="18"/>
      <w:szCs w:val="18"/>
    </w:rPr>
  </w:style>
  <w:style w:type="paragraph" w:styleId="a5">
    <w:name w:val="footer"/>
    <w:basedOn w:val="a"/>
    <w:link w:val="a6"/>
    <w:uiPriority w:val="99"/>
    <w:unhideWhenUsed/>
    <w:rsid w:val="00335A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5A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婧雅</dc:creator>
  <cp:keywords/>
  <dc:description/>
  <cp:lastModifiedBy>颖 刘</cp:lastModifiedBy>
  <cp:revision>3</cp:revision>
  <dcterms:created xsi:type="dcterms:W3CDTF">2022-05-13T07:01:00Z</dcterms:created>
  <dcterms:modified xsi:type="dcterms:W3CDTF">2022-05-17T06:30:00Z</dcterms:modified>
</cp:coreProperties>
</file>